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0E" w:rsidRDefault="00EB3A0E" w:rsidP="00EB3A0E">
      <w:pPr>
        <w:pStyle w:val="Heading1"/>
      </w:pPr>
      <w:r>
        <w:t>Participant Evaluation form</w:t>
      </w:r>
    </w:p>
    <w:p w:rsidR="00EB3A0E" w:rsidRDefault="00331812" w:rsidP="00DB1304">
      <w:r>
        <w:t xml:space="preserve">(1) </w:t>
      </w:r>
      <w:r w:rsidR="00EB3A0E">
        <w:t>Please fill the form with correct information and attach official event’s catalog and event’s report for any necessary information verification. Fields with (*) are mandatory.</w:t>
      </w:r>
    </w:p>
    <w:p w:rsidR="00331812" w:rsidRDefault="00331812" w:rsidP="00DB1304">
      <w:r>
        <w:t xml:space="preserve">(2) </w:t>
      </w:r>
      <w:r w:rsidR="008B6F14">
        <w:t>P</w:t>
      </w:r>
      <w:r>
        <w:t xml:space="preserve">lease fill the form for each </w:t>
      </w:r>
      <w:r w:rsidR="00932DF2">
        <w:t xml:space="preserve">IFIA </w:t>
      </w:r>
      <w:r>
        <w:t>event where your organization participated in 2017.</w:t>
      </w:r>
    </w:p>
    <w:tbl>
      <w:tblPr>
        <w:tblW w:w="981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977"/>
        <w:gridCol w:w="1559"/>
        <w:gridCol w:w="5274"/>
      </w:tblGrid>
      <w:tr w:rsidR="00EB3A0E" w:rsidRPr="00EB3A0E" w:rsidTr="00EB3A0E">
        <w:trPr>
          <w:trHeight w:val="75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vAlign w:val="center"/>
          </w:tcPr>
          <w:p w:rsidR="00EB3A0E" w:rsidRPr="00EB3A0E" w:rsidRDefault="00EB3A0E" w:rsidP="00EB3A0E">
            <w:pPr>
              <w:pStyle w:val="Allcaps"/>
              <w:rPr>
                <w:b/>
                <w:color w:val="FFFFFF" w:themeColor="background1"/>
                <w:sz w:val="20"/>
                <w:szCs w:val="20"/>
              </w:rPr>
            </w:pPr>
            <w:r w:rsidRPr="00EB3A0E">
              <w:rPr>
                <w:b/>
                <w:color w:val="FFFFFF" w:themeColor="background1"/>
                <w:sz w:val="20"/>
                <w:szCs w:val="20"/>
              </w:rPr>
              <w:t>international IFIA EVENT participation</w:t>
            </w:r>
          </w:p>
        </w:tc>
      </w:tr>
      <w:tr w:rsidR="00EB3A0E" w:rsidRPr="00DD4C88" w:rsidTr="00EB3A0E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EB3A0E" w:rsidRPr="00DD4C88" w:rsidRDefault="00EB3A0E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DD4C88">
              <w:t>Date</w:t>
            </w:r>
            <w:r w:rsidR="00793A29" w:rsidRPr="00793A29">
              <w:rPr>
                <w:color w:val="FF0000"/>
              </w:rPr>
              <w:t xml:space="preserve"> (*)</w:t>
            </w:r>
          </w:p>
        </w:tc>
        <w:tc>
          <w:tcPr>
            <w:tcW w:w="68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EB3A0E" w:rsidRPr="00DD4C88" w:rsidRDefault="00EB3A0E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</w:tr>
      <w:tr w:rsidR="00EB3A0E" w:rsidRPr="00DD4C88" w:rsidTr="00EB3A0E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EB3A0E" w:rsidRPr="00DD4C88" w:rsidRDefault="00EB3A0E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DD4C88">
              <w:t>City, Country</w:t>
            </w:r>
            <w:r w:rsidR="00793A29" w:rsidRPr="00793A29">
              <w:rPr>
                <w:color w:val="FF0000"/>
              </w:rPr>
              <w:t xml:space="preserve"> (*)</w:t>
            </w:r>
          </w:p>
        </w:tc>
        <w:tc>
          <w:tcPr>
            <w:tcW w:w="68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EB3A0E" w:rsidRPr="00DD4C88" w:rsidRDefault="00EB3A0E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</w:tr>
      <w:tr w:rsidR="004D47F3" w:rsidRPr="00DD4C88" w:rsidTr="008054A9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4D47F3" w:rsidRPr="00DD4C88" w:rsidRDefault="004D47F3" w:rsidP="008054A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 xml:space="preserve">Event name </w:t>
            </w:r>
            <w:r w:rsidRPr="00793A29">
              <w:rPr>
                <w:color w:val="FF0000"/>
              </w:rPr>
              <w:t>(*)</w:t>
            </w:r>
          </w:p>
        </w:tc>
        <w:tc>
          <w:tcPr>
            <w:tcW w:w="68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4D47F3" w:rsidRPr="00DD4C88" w:rsidRDefault="004D47F3" w:rsidP="008054A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</w:tr>
      <w:tr w:rsidR="00EB3A0E" w:rsidRPr="00DD4C88" w:rsidTr="00EB3A0E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3A0E" w:rsidRPr="00DD4C88" w:rsidRDefault="00630FED" w:rsidP="005B0A04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 xml:space="preserve">Total </w:t>
            </w:r>
            <w:r w:rsidR="005B0A04">
              <w:t>Number of Participants</w:t>
            </w:r>
            <w:r w:rsidR="00793A29" w:rsidRPr="00793A29">
              <w:rPr>
                <w:color w:val="FF0000"/>
              </w:rPr>
              <w:t xml:space="preserve"> (*)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3A0E" w:rsidRPr="00DD4C88" w:rsidRDefault="00EB3A0E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D95ABD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(from 1pt to 5pt) / Rating </w:t>
            </w:r>
            <w:r w:rsidRPr="00DD4C88">
              <w:t xml:space="preserve">Factor: </w:t>
            </w:r>
            <w:r w:rsidR="00496A39">
              <w:t>1</w:t>
            </w:r>
            <w:r w:rsidR="00105AD6">
              <w:t xml:space="preserve"> </w:t>
            </w:r>
          </w:p>
          <w:p w:rsidR="00EB3A0E" w:rsidRPr="00DD4C88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053716" w:rsidRPr="00DD4C88" w:rsidTr="00EB3A0E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3716" w:rsidRDefault="00053716" w:rsidP="0005371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Participating Universities / Schools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3716" w:rsidRPr="00DD4C88" w:rsidRDefault="00053716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496A39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053716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5B0A04" w:rsidRPr="00DD4C88" w:rsidTr="00EB3A0E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B0A04" w:rsidRPr="00DD4C88" w:rsidRDefault="00630FED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Youth participants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B0A04" w:rsidRPr="00DD4C88" w:rsidRDefault="005B0A04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496A39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5B0A04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630FED" w:rsidRPr="00DD4C88" w:rsidTr="00630FED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30FED" w:rsidRPr="00DD4C88" w:rsidRDefault="00630FED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Women participants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30FED" w:rsidRPr="00DD4C88" w:rsidRDefault="00630FED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496A39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630FED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630FED" w:rsidRPr="00DD4C88" w:rsidTr="00630FED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30FED" w:rsidRDefault="00630FED" w:rsidP="00793A2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Participation method (in-person, long distance)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30FED" w:rsidRPr="00DD4C88" w:rsidRDefault="00630FED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105AD6" w:rsidRDefault="00D95ABD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 w:rsidR="00793A29">
              <w:t>(1pt</w:t>
            </w:r>
            <w:r>
              <w:t xml:space="preserve"> or 5pt) / Rating </w:t>
            </w:r>
            <w:r w:rsidRPr="00DD4C88">
              <w:t xml:space="preserve">Factor: </w:t>
            </w:r>
            <w:r w:rsidR="00496A39">
              <w:t>1</w:t>
            </w:r>
            <w:r w:rsidR="00105AD6">
              <w:t xml:space="preserve"> </w:t>
            </w:r>
          </w:p>
          <w:p w:rsidR="00630FED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630FED" w:rsidRPr="00DD4C88" w:rsidTr="00EB3A0E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30FED" w:rsidRDefault="00630FED" w:rsidP="00793A2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 xml:space="preserve">Number of </w:t>
            </w:r>
            <w:r w:rsidR="00793A29">
              <w:t>submitted / exhibited</w:t>
            </w:r>
            <w:r>
              <w:t xml:space="preserve"> inventions</w:t>
            </w:r>
            <w:r w:rsidR="00793A29" w:rsidRPr="00793A29">
              <w:rPr>
                <w:color w:val="FF0000"/>
              </w:rPr>
              <w:t xml:space="preserve"> (*)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30FED" w:rsidRPr="00DD4C88" w:rsidRDefault="00630FED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D95ABD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(from 1pt to 5pt) / Rating </w:t>
            </w:r>
            <w:r w:rsidRPr="00DD4C88">
              <w:t xml:space="preserve">Factor: </w:t>
            </w:r>
            <w:r w:rsidR="00496A39">
              <w:t>1</w:t>
            </w:r>
            <w:r w:rsidR="00105AD6">
              <w:t xml:space="preserve"> </w:t>
            </w:r>
          </w:p>
          <w:p w:rsidR="00630FED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630FED" w:rsidRPr="00DD4C88" w:rsidTr="00630FED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30FED" w:rsidRDefault="00630FED" w:rsidP="00630FED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Number of Green inventions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30FED" w:rsidRPr="00DD4C88" w:rsidRDefault="00630FED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D95ABD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(from </w:t>
            </w:r>
            <w:r w:rsidR="00793A29">
              <w:t>0</w:t>
            </w:r>
            <w:r>
              <w:t xml:space="preserve">pt to 5pt) / Rating </w:t>
            </w:r>
            <w:r w:rsidRPr="00DD4C88">
              <w:t xml:space="preserve">Factor: </w:t>
            </w:r>
            <w:r w:rsidR="00496A39">
              <w:t>1</w:t>
            </w:r>
            <w:r w:rsidR="00105AD6">
              <w:t xml:space="preserve"> </w:t>
            </w:r>
          </w:p>
          <w:p w:rsidR="00630FED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630FED" w:rsidRPr="00DD4C88" w:rsidTr="00630FED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30FED" w:rsidRDefault="00630FED" w:rsidP="00630FED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Number of signed NDAs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30FED" w:rsidRPr="00DD4C88" w:rsidRDefault="00630FED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105AD6" w:rsidRDefault="00496A39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630FED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630FED" w:rsidRPr="00DD4C88" w:rsidTr="00630FED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30FED" w:rsidRDefault="00630FED" w:rsidP="00630FED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Number of signed licensing agreements with companies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30FED" w:rsidRPr="00DD4C88" w:rsidRDefault="00630FED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105AD6" w:rsidRDefault="00496A39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630FED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630FED" w:rsidRPr="00DD4C88" w:rsidTr="00630FED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30FED" w:rsidRDefault="00D041FF" w:rsidP="00630FED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Number signed of MO</w:t>
            </w:r>
            <w:r w:rsidR="00630FED">
              <w:t>Us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30FED" w:rsidRPr="00DD4C88" w:rsidRDefault="00630FED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105AD6" w:rsidRDefault="00496A39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630FED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630FED" w:rsidRPr="00DD4C88" w:rsidTr="00EB3A0E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30FED" w:rsidRDefault="00630FED" w:rsidP="00630FED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Total received awards</w:t>
            </w:r>
            <w:r w:rsidR="00793A29" w:rsidRPr="00793A29">
              <w:rPr>
                <w:color w:val="FF0000"/>
              </w:rPr>
              <w:t xml:space="preserve"> (*)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30FED" w:rsidRPr="00DD4C88" w:rsidRDefault="00630FED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D95ABD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(from </w:t>
            </w:r>
            <w:r w:rsidR="00793A29">
              <w:t>0</w:t>
            </w:r>
            <w:r>
              <w:t xml:space="preserve">pt to 5pt) / Rating </w:t>
            </w:r>
            <w:r w:rsidRPr="00DD4C88">
              <w:t xml:space="preserve">Factor: </w:t>
            </w:r>
            <w:r w:rsidR="00496A39">
              <w:t>1</w:t>
            </w:r>
            <w:r w:rsidR="00105AD6">
              <w:t xml:space="preserve"> </w:t>
            </w:r>
          </w:p>
          <w:p w:rsidR="00630FED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105AD6" w:rsidRPr="00DD4C88" w:rsidTr="00105AD6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 xml:space="preserve">- </w:t>
            </w:r>
            <w:r w:rsidR="00D041FF">
              <w:t>Platinum</w:t>
            </w:r>
            <w:r>
              <w:t xml:space="preserve"> Medals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Pr="00DD4C88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(from 0pt to 5pt) / Rating </w:t>
            </w:r>
            <w:r w:rsidRPr="00DD4C88">
              <w:t xml:space="preserve">Factor: </w:t>
            </w:r>
            <w:r>
              <w:t xml:space="preserve">1 </w:t>
            </w:r>
          </w:p>
          <w:p w:rsidR="00105AD6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105AD6" w:rsidRPr="00DD4C88" w:rsidTr="00105AD6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- Gold Medals with mention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Pr="00DD4C88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(from 0pt to 5pt) / Rating </w:t>
            </w:r>
            <w:r w:rsidRPr="00DD4C88">
              <w:t xml:space="preserve">Factor: </w:t>
            </w:r>
            <w:r>
              <w:t xml:space="preserve">1 </w:t>
            </w:r>
          </w:p>
          <w:p w:rsidR="00105AD6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4D47F3" w:rsidRPr="00DD4C88" w:rsidTr="008054A9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47F3" w:rsidRDefault="004D47F3" w:rsidP="008054A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- Gold Medals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47F3" w:rsidRPr="00DD4C88" w:rsidRDefault="004D47F3" w:rsidP="008054A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4D47F3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(from 0pt to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4D47F3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lastRenderedPageBreak/>
              <w:t>Evaluation (Reserved to IFIA’s Evaluation Department):</w:t>
            </w:r>
          </w:p>
        </w:tc>
      </w:tr>
      <w:tr w:rsidR="004D47F3" w:rsidRPr="00DD4C88" w:rsidTr="008054A9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47F3" w:rsidRDefault="004D47F3" w:rsidP="008054A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lastRenderedPageBreak/>
              <w:t>- Silver Medals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47F3" w:rsidRPr="00DD4C88" w:rsidRDefault="004D47F3" w:rsidP="008054A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4D47F3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(from 0pt to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4D47F3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4D47F3" w:rsidRPr="00DD4C88" w:rsidTr="008054A9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47F3" w:rsidRDefault="004D47F3" w:rsidP="008054A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- Bronze Medals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47F3" w:rsidRPr="00DD4C88" w:rsidRDefault="004D47F3" w:rsidP="008054A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4D47F3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(from 0pt to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4D47F3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4D47F3" w:rsidRPr="00DD4C88" w:rsidTr="008054A9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47F3" w:rsidRDefault="004D47F3" w:rsidP="008054A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- Special Awards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47F3" w:rsidRPr="00DD4C88" w:rsidRDefault="004D47F3" w:rsidP="008054A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4D47F3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(from 0pt to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4D47F3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630FED" w:rsidRPr="00DD4C88" w:rsidTr="00EB3A0E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30FED" w:rsidRDefault="004D47F3" w:rsidP="00630FED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 xml:space="preserve">- </w:t>
            </w:r>
            <w:r w:rsidR="00630FED">
              <w:t>Youth awards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30FED" w:rsidRPr="00DD4C88" w:rsidRDefault="00630FED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496A39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630FED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630FED" w:rsidRPr="00DD4C88" w:rsidTr="00EB3A0E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30FED" w:rsidRDefault="004D47F3" w:rsidP="00630FED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 xml:space="preserve">- </w:t>
            </w:r>
            <w:r w:rsidR="00630FED">
              <w:t>Women awards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30FED" w:rsidRPr="00DD4C88" w:rsidRDefault="00630FED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496A39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630FED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630FED" w:rsidRPr="00DD4C88" w:rsidTr="00EB3A0E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30FED" w:rsidRDefault="004D47F3" w:rsidP="00630FED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 xml:space="preserve">- </w:t>
            </w:r>
            <w:r w:rsidR="00630FED">
              <w:t xml:space="preserve">Trophies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30FED" w:rsidRPr="00DD4C88" w:rsidRDefault="00630FED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496A39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630FED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630FED" w:rsidRPr="00DD4C88" w:rsidTr="00EB3A0E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30FED" w:rsidRDefault="004D47F3" w:rsidP="00630FED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 xml:space="preserve">- </w:t>
            </w:r>
            <w:r w:rsidR="00630FED">
              <w:t>Cash prize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30FED" w:rsidRPr="00DD4C88" w:rsidRDefault="00630FED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496A39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630FED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630FED" w:rsidRPr="00DD4C88" w:rsidTr="00331812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30FED" w:rsidRDefault="004D47F3" w:rsidP="00630FED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 xml:space="preserve">- </w:t>
            </w:r>
            <w:r w:rsidR="00630FED">
              <w:t>IFIA awards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30FED" w:rsidRPr="00DD4C88" w:rsidRDefault="00630FED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496A39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630FED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630FED" w:rsidRPr="00DD4C88" w:rsidTr="00331812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30FED" w:rsidRDefault="00630FED" w:rsidP="00331812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Total inventors awarded duri</w:t>
            </w:r>
            <w:r w:rsidR="00331812">
              <w:t>ng the official awards ceremony</w:t>
            </w:r>
            <w:r w:rsidR="00793A29">
              <w:t xml:space="preserve"> (given awards)</w:t>
            </w:r>
            <w:r w:rsidR="00793A29" w:rsidRPr="00793A29">
              <w:rPr>
                <w:color w:val="FF0000"/>
              </w:rPr>
              <w:t xml:space="preserve"> (*)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30FED" w:rsidRPr="00DD4C88" w:rsidRDefault="00630FED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105AD6" w:rsidRDefault="00496A39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(from </w:t>
            </w:r>
            <w:r w:rsidR="00793A29">
              <w:t>0</w:t>
            </w:r>
            <w:r>
              <w:t xml:space="preserve">pt to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630FED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630FED" w:rsidRPr="00DD4C88" w:rsidTr="00331812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30FED" w:rsidRDefault="004D47F3" w:rsidP="00630FED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 xml:space="preserve">- </w:t>
            </w:r>
            <w:r w:rsidR="00331812">
              <w:t>Youth awarded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30FED" w:rsidRPr="00DD4C88" w:rsidRDefault="00630FED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105AD6" w:rsidRDefault="00496A39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630FED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331812" w:rsidRPr="00DD4C88" w:rsidTr="00331812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331812" w:rsidRDefault="004D47F3" w:rsidP="00630FED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 xml:space="preserve">- </w:t>
            </w:r>
            <w:r w:rsidR="00331812">
              <w:t>Women awarded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331812" w:rsidRPr="00DD4C88" w:rsidRDefault="00331812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105AD6" w:rsidRDefault="00496A39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331812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331812" w:rsidRPr="00DD4C88" w:rsidTr="00331812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331812" w:rsidRDefault="004D47F3" w:rsidP="00630FED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 xml:space="preserve">- </w:t>
            </w:r>
            <w:r w:rsidR="00331812">
              <w:t>Trophies awarded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331812" w:rsidRPr="00DD4C88" w:rsidRDefault="00331812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105AD6" w:rsidRDefault="00496A39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331812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331812" w:rsidRPr="00DD4C88" w:rsidTr="00331812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331812" w:rsidRDefault="004D47F3" w:rsidP="00630FED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 xml:space="preserve">- </w:t>
            </w:r>
            <w:r w:rsidR="00331812">
              <w:t>Cash prize awarded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331812" w:rsidRPr="00DD4C88" w:rsidRDefault="00331812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105AD6" w:rsidRDefault="00496A39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331812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331812" w:rsidRPr="00DD4C88" w:rsidTr="00EB3A0E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1812" w:rsidRDefault="00331812" w:rsidP="00630FED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Participation at the event’s international jury works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1812" w:rsidRPr="00DD4C88" w:rsidRDefault="00331812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496A39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331812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331812" w:rsidRPr="00DD4C88" w:rsidTr="00EB3A0E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1812" w:rsidRDefault="00331812" w:rsidP="00630FED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Participation in IFIA’s GA meeting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1812" w:rsidRPr="00DD4C88" w:rsidRDefault="00331812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496A39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331812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331812" w:rsidRPr="00DD4C88" w:rsidTr="00EB3A0E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1812" w:rsidRDefault="00331812" w:rsidP="00630FED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 xml:space="preserve">Participation in IFIA’s </w:t>
            </w:r>
            <w:proofErr w:type="spellStart"/>
            <w:r>
              <w:t>ExCo</w:t>
            </w:r>
            <w:proofErr w:type="spellEnd"/>
            <w:r>
              <w:t xml:space="preserve"> meeting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1812" w:rsidRPr="00DD4C88" w:rsidRDefault="00331812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496A39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331812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331812" w:rsidRPr="00DD4C88" w:rsidTr="00EB3A0E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1812" w:rsidRDefault="00331812" w:rsidP="00630FED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Participation in the event’s on side workshops / seminars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1812" w:rsidRPr="00DD4C88" w:rsidRDefault="00331812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496A39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331812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</w:tbl>
    <w:p w:rsidR="00105AD6" w:rsidRDefault="00105AD6" w:rsidP="00105AD6"/>
    <w:p w:rsidR="00105AD6" w:rsidRDefault="00105AD6" w:rsidP="00105AD6">
      <w:r>
        <w:lastRenderedPageBreak/>
        <w:t xml:space="preserve">A: Number of Criteria: </w:t>
      </w:r>
    </w:p>
    <w:p w:rsidR="00105AD6" w:rsidRDefault="00105AD6" w:rsidP="00105AD6">
      <w:pPr>
        <w:rPr>
          <w:b/>
        </w:rPr>
      </w:pPr>
      <w:r>
        <w:t xml:space="preserve">B: Sum of </w:t>
      </w:r>
      <w:r w:rsidRPr="002601CA">
        <w:rPr>
          <w:b/>
        </w:rPr>
        <w:t>Criteria Scores</w:t>
      </w:r>
      <w:r>
        <w:rPr>
          <w:b/>
        </w:rPr>
        <w:t xml:space="preserve">: </w:t>
      </w:r>
    </w:p>
    <w:p w:rsidR="00105AD6" w:rsidRDefault="00105AD6" w:rsidP="00105AD6">
      <w:pPr>
        <w:rPr>
          <w:b/>
        </w:rPr>
      </w:pPr>
    </w:p>
    <w:p w:rsidR="00105AD6" w:rsidRPr="002601CA" w:rsidRDefault="00105AD6" w:rsidP="00105AD6">
      <w:pPr>
        <w:rPr>
          <w:sz w:val="24"/>
          <w:szCs w:val="24"/>
        </w:rPr>
      </w:pPr>
      <w:r>
        <w:rPr>
          <w:b/>
          <w:sz w:val="24"/>
          <w:szCs w:val="24"/>
        </w:rPr>
        <w:t>International IFIA Events Participation</w:t>
      </w:r>
      <w:r w:rsidRPr="002601CA">
        <w:rPr>
          <w:b/>
          <w:sz w:val="24"/>
          <w:szCs w:val="24"/>
        </w:rPr>
        <w:t xml:space="preserve"> Evaluation</w:t>
      </w:r>
      <w:r>
        <w:rPr>
          <w:b/>
          <w:sz w:val="24"/>
          <w:szCs w:val="24"/>
        </w:rPr>
        <w:t xml:space="preserve"> (B/A)</w:t>
      </w:r>
      <w:r w:rsidRPr="002601CA">
        <w:rPr>
          <w:b/>
          <w:sz w:val="24"/>
          <w:szCs w:val="24"/>
        </w:rPr>
        <w:t xml:space="preserve">: </w:t>
      </w:r>
    </w:p>
    <w:p w:rsidR="00065BC9" w:rsidRDefault="00065BC9"/>
    <w:p w:rsidR="00EB3A0E" w:rsidRDefault="00EB3A0E">
      <w:pPr>
        <w:spacing w:before="0" w:after="0"/>
      </w:pPr>
      <w:r>
        <w:br w:type="page"/>
      </w:r>
    </w:p>
    <w:p w:rsidR="001F2D03" w:rsidRDefault="001F2D03" w:rsidP="001F2D03">
      <w:pPr>
        <w:pStyle w:val="Heading1"/>
      </w:pPr>
      <w:bookmarkStart w:id="0" w:name="_GoBack"/>
      <w:bookmarkEnd w:id="0"/>
      <w:r>
        <w:lastRenderedPageBreak/>
        <w:t>Evaluation Criteria and Method</w:t>
      </w:r>
    </w:p>
    <w:p w:rsidR="001F2D03" w:rsidRDefault="001F2D03" w:rsidP="001F2D03">
      <w:pPr>
        <w:pStyle w:val="ListParagraph"/>
        <w:numPr>
          <w:ilvl w:val="0"/>
          <w:numId w:val="3"/>
        </w:numPr>
      </w:pPr>
      <w:r>
        <w:t xml:space="preserve">Each IFIA member </w:t>
      </w:r>
      <w:r w:rsidR="00D041FF">
        <w:t>has</w:t>
      </w:r>
      <w:r>
        <w:t xml:space="preserve"> to fill and send the IFIA evaluation forms in due time to be evaluated by the IFIA’s Evaluation Department</w:t>
      </w:r>
    </w:p>
    <w:p w:rsidR="00EB3A0E" w:rsidRDefault="001F2D03" w:rsidP="001F2D03">
      <w:pPr>
        <w:pStyle w:val="ListParagraph"/>
        <w:numPr>
          <w:ilvl w:val="0"/>
          <w:numId w:val="3"/>
        </w:numPr>
      </w:pPr>
      <w:r>
        <w:t>The evaluation of each country depend</w:t>
      </w:r>
      <w:r w:rsidR="00D041FF">
        <w:t>s</w:t>
      </w:r>
      <w:r>
        <w:t xml:space="preserve"> on the evaluation of all its members activities (corresponding, collaborating and full members), if </w:t>
      </w:r>
      <w:r w:rsidR="00A93BE1">
        <w:t>an IFIA member do</w:t>
      </w:r>
      <w:r w:rsidR="00D041FF">
        <w:t>es</w:t>
      </w:r>
      <w:r w:rsidR="00A93BE1">
        <w:t xml:space="preserve">n’t send required forms in due time, his country ranking </w:t>
      </w:r>
      <w:r w:rsidR="00014519">
        <w:t>will</w:t>
      </w:r>
      <w:r w:rsidR="00A93BE1">
        <w:t xml:space="preserve"> </w:t>
      </w:r>
      <w:r w:rsidR="00014519">
        <w:t>be affected accordingly</w:t>
      </w:r>
    </w:p>
    <w:p w:rsidR="00014519" w:rsidRDefault="00014519" w:rsidP="001F2D03">
      <w:pPr>
        <w:pStyle w:val="ListParagraph"/>
        <w:numPr>
          <w:ilvl w:val="0"/>
          <w:numId w:val="3"/>
        </w:numPr>
      </w:pPr>
      <w:r>
        <w:t xml:space="preserve">Activities of organizations / institutions which are not members of IFIA, will not be evaluated and are not considered in the country </w:t>
      </w:r>
      <w:r w:rsidR="00633539">
        <w:t>activities evaluation</w:t>
      </w:r>
    </w:p>
    <w:p w:rsidR="00014519" w:rsidRDefault="00014519" w:rsidP="001F2D03">
      <w:pPr>
        <w:pStyle w:val="ListParagraph"/>
        <w:numPr>
          <w:ilvl w:val="0"/>
          <w:numId w:val="3"/>
        </w:numPr>
      </w:pPr>
      <w:r>
        <w:t>Each</w:t>
      </w:r>
      <w:r w:rsidR="00E924DD">
        <w:t xml:space="preserve"> </w:t>
      </w:r>
      <w:r>
        <w:t>criteria is calculated using “ranking detail” and “ranking factor” as specified here after:</w:t>
      </w:r>
    </w:p>
    <w:p w:rsidR="00014519" w:rsidRDefault="00014519" w:rsidP="00014519"/>
    <w:p w:rsidR="007C0EC3" w:rsidRDefault="007C0EC3" w:rsidP="007C0EC3">
      <w:r>
        <w:t xml:space="preserve">A: A </w:t>
      </w:r>
      <w:r w:rsidRPr="00E924DD">
        <w:rPr>
          <w:b/>
        </w:rPr>
        <w:t>criteria score</w:t>
      </w:r>
      <w:r>
        <w:t xml:space="preserve"> is given for each form criteria (given information) = </w:t>
      </w:r>
      <w:r w:rsidRPr="00E924DD">
        <w:rPr>
          <w:b/>
        </w:rPr>
        <w:t>matching “ranking detail”</w:t>
      </w:r>
      <w:r>
        <w:t xml:space="preserve"> x “ranking factor”</w:t>
      </w:r>
    </w:p>
    <w:p w:rsidR="007C0EC3" w:rsidRDefault="007C0EC3" w:rsidP="007C0EC3">
      <w:r>
        <w:t xml:space="preserve">B: An </w:t>
      </w:r>
      <w:r w:rsidRPr="00527CEB">
        <w:rPr>
          <w:b/>
        </w:rPr>
        <w:t>activity total score</w:t>
      </w:r>
      <w:r>
        <w:t xml:space="preserve"> is given for each activity = sum of </w:t>
      </w:r>
      <w:r w:rsidRPr="00527CEB">
        <w:rPr>
          <w:b/>
        </w:rPr>
        <w:t>criteria scores</w:t>
      </w:r>
      <w:r>
        <w:t xml:space="preserve"> (A) / number of </w:t>
      </w:r>
      <w:r w:rsidRPr="00527CEB">
        <w:rPr>
          <w:b/>
        </w:rPr>
        <w:t>criteria</w:t>
      </w:r>
    </w:p>
    <w:p w:rsidR="007C0EC3" w:rsidRDefault="007C0EC3" w:rsidP="007C0EC3">
      <w:r>
        <w:t xml:space="preserve">C: A </w:t>
      </w:r>
      <w:r w:rsidRPr="00527CEB">
        <w:rPr>
          <w:b/>
        </w:rPr>
        <w:t>member global score</w:t>
      </w:r>
      <w:r>
        <w:t xml:space="preserve"> is given for all activities of IFIA member = sum of </w:t>
      </w:r>
      <w:r>
        <w:rPr>
          <w:b/>
        </w:rPr>
        <w:t>activity</w:t>
      </w:r>
      <w:r w:rsidRPr="00527CEB">
        <w:rPr>
          <w:b/>
        </w:rPr>
        <w:t xml:space="preserve"> total score</w:t>
      </w:r>
      <w:r>
        <w:t xml:space="preserve"> (B)</w:t>
      </w:r>
    </w:p>
    <w:p w:rsidR="007C0EC3" w:rsidRDefault="007C0EC3" w:rsidP="007C0EC3">
      <w:r>
        <w:t xml:space="preserve">D: A Country score is given for all IFIA members in that country = sum of </w:t>
      </w:r>
      <w:r w:rsidRPr="00E924DD">
        <w:t>the</w:t>
      </w:r>
      <w:r w:rsidRPr="00527CEB">
        <w:rPr>
          <w:b/>
        </w:rPr>
        <w:t xml:space="preserve"> member</w:t>
      </w:r>
      <w:r>
        <w:t xml:space="preserve"> </w:t>
      </w:r>
      <w:r w:rsidRPr="00E924DD">
        <w:rPr>
          <w:b/>
        </w:rPr>
        <w:t>global score</w:t>
      </w:r>
      <w:r>
        <w:t xml:space="preserve"> (C)</w:t>
      </w:r>
    </w:p>
    <w:p w:rsidR="00EB3A0E" w:rsidRDefault="00EB3A0E"/>
    <w:p w:rsidR="00F25542" w:rsidRPr="00F25542" w:rsidRDefault="00F25542">
      <w:pPr>
        <w:rPr>
          <w:u w:val="single"/>
        </w:rPr>
      </w:pPr>
      <w:r w:rsidRPr="00F25542">
        <w:rPr>
          <w:u w:val="single"/>
        </w:rPr>
        <w:t>Example</w:t>
      </w:r>
    </w:p>
    <w:tbl>
      <w:tblPr>
        <w:tblW w:w="981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977"/>
        <w:gridCol w:w="1559"/>
        <w:gridCol w:w="5274"/>
      </w:tblGrid>
      <w:tr w:rsidR="00496A39" w:rsidRPr="00DD4C88" w:rsidTr="00496A39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6A39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Criteria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6A39" w:rsidRPr="00DD4C88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Given information</w:t>
            </w: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6A39" w:rsidRDefault="00496A39" w:rsidP="00F25542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(from 1pt to 5pt) / </w:t>
            </w:r>
            <w:r w:rsidRPr="00F25542">
              <w:rPr>
                <w:b/>
              </w:rPr>
              <w:t xml:space="preserve">Rating Factor: </w:t>
            </w:r>
            <w:r w:rsidR="00F25542" w:rsidRPr="00F25542">
              <w:rPr>
                <w:b/>
              </w:rPr>
              <w:t>2</w:t>
            </w:r>
          </w:p>
        </w:tc>
      </w:tr>
      <w:tr w:rsidR="00496A39" w:rsidRPr="00DD4C88" w:rsidTr="00496A39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6A39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Participants number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6A39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200</w:t>
            </w: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6A39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1pt: from 1 to 20</w:t>
            </w:r>
          </w:p>
          <w:p w:rsidR="00496A39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2pt: from 21 to 50</w:t>
            </w:r>
          </w:p>
          <w:p w:rsidR="00496A39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3pt: from 51 to 100</w:t>
            </w:r>
          </w:p>
          <w:p w:rsidR="00496A39" w:rsidRPr="00F25542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  <w:rPr>
                <w:b/>
              </w:rPr>
            </w:pPr>
            <w:r w:rsidRPr="00F25542">
              <w:rPr>
                <w:b/>
              </w:rPr>
              <w:t>4pt: from 101 to 300</w:t>
            </w:r>
          </w:p>
          <w:p w:rsidR="00496A39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 xml:space="preserve">5pt: </w:t>
            </w:r>
            <w:r w:rsidR="00F25542">
              <w:t>300 and more</w:t>
            </w:r>
          </w:p>
        </w:tc>
      </w:tr>
    </w:tbl>
    <w:p w:rsidR="00F25542" w:rsidRDefault="00F25542">
      <w:r>
        <w:t>In this example:</w:t>
      </w:r>
    </w:p>
    <w:p w:rsidR="00496A39" w:rsidRDefault="00F25542">
      <w:r>
        <w:t>A = 4pt x 2 (ranking factor) = 8</w:t>
      </w:r>
    </w:p>
    <w:p w:rsidR="00F25542" w:rsidRDefault="00F25542"/>
    <w:p w:rsidR="00F25542" w:rsidRDefault="00F25542"/>
    <w:sectPr w:rsidR="00F25542" w:rsidSect="00065BC9">
      <w:pgSz w:w="11907" w:h="16839"/>
      <w:pgMar w:top="1440" w:right="1080" w:bottom="1440" w:left="10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72B5"/>
    <w:multiLevelType w:val="hybridMultilevel"/>
    <w:tmpl w:val="8188D38E"/>
    <w:lvl w:ilvl="0" w:tplc="866426D0">
      <w:start w:val="1"/>
      <w:numFmt w:val="decimal"/>
      <w:pStyle w:val="BulletedList"/>
      <w:lvlText w:val="%1-"/>
      <w:lvlJc w:val="left"/>
      <w:pPr>
        <w:ind w:left="504" w:hanging="360"/>
      </w:pPr>
      <w:rPr>
        <w:rFonts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22659"/>
    <w:multiLevelType w:val="hybridMultilevel"/>
    <w:tmpl w:val="3C54C594"/>
    <w:lvl w:ilvl="0" w:tplc="86642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132F4"/>
    <w:rsid w:val="00014519"/>
    <w:rsid w:val="00027A85"/>
    <w:rsid w:val="00053716"/>
    <w:rsid w:val="00065BC9"/>
    <w:rsid w:val="00105AD6"/>
    <w:rsid w:val="0019199F"/>
    <w:rsid w:val="001F2D03"/>
    <w:rsid w:val="002D3B36"/>
    <w:rsid w:val="00331812"/>
    <w:rsid w:val="004444D6"/>
    <w:rsid w:val="00496A39"/>
    <w:rsid w:val="004D47F3"/>
    <w:rsid w:val="00527CEB"/>
    <w:rsid w:val="00565D20"/>
    <w:rsid w:val="005B0A04"/>
    <w:rsid w:val="00630FED"/>
    <w:rsid w:val="00633539"/>
    <w:rsid w:val="00634469"/>
    <w:rsid w:val="006B0C03"/>
    <w:rsid w:val="006D0785"/>
    <w:rsid w:val="00793A29"/>
    <w:rsid w:val="007B6E46"/>
    <w:rsid w:val="007C0EC3"/>
    <w:rsid w:val="008054A9"/>
    <w:rsid w:val="00851F00"/>
    <w:rsid w:val="008862EE"/>
    <w:rsid w:val="008B6F14"/>
    <w:rsid w:val="00932DF2"/>
    <w:rsid w:val="00951F54"/>
    <w:rsid w:val="00A93BE1"/>
    <w:rsid w:val="00BB147F"/>
    <w:rsid w:val="00D041FF"/>
    <w:rsid w:val="00D132F4"/>
    <w:rsid w:val="00D95ABD"/>
    <w:rsid w:val="00DB1304"/>
    <w:rsid w:val="00DD4C88"/>
    <w:rsid w:val="00E924DD"/>
    <w:rsid w:val="00E93BA6"/>
    <w:rsid w:val="00EB3A0E"/>
    <w:rsid w:val="00F25542"/>
    <w:rsid w:val="00FD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69"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634469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4469"/>
    <w:rPr>
      <w:rFonts w:ascii="Tahoma" w:hAnsi="Tahoma" w:cs="Tahoma"/>
    </w:rPr>
  </w:style>
  <w:style w:type="character" w:customStyle="1" w:styleId="AllcapsChar">
    <w:name w:val="All caps Char"/>
    <w:basedOn w:val="DefaultParagraphFont"/>
    <w:link w:val="Allcaps"/>
    <w:locked/>
    <w:rsid w:val="00634469"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sid w:val="00634469"/>
    <w:rPr>
      <w:caps/>
    </w:rPr>
  </w:style>
  <w:style w:type="paragraph" w:customStyle="1" w:styleId="BulletedList">
    <w:name w:val="Bulleted List"/>
    <w:basedOn w:val="Normal"/>
    <w:rsid w:val="00634469"/>
    <w:pPr>
      <w:numPr>
        <w:numId w:val="2"/>
      </w:numPr>
      <w:spacing w:before="120" w:after="240"/>
    </w:pPr>
  </w:style>
  <w:style w:type="character" w:customStyle="1" w:styleId="BoldChar">
    <w:name w:val="Bold Char"/>
    <w:basedOn w:val="DefaultParagraphFont"/>
    <w:link w:val="Bold"/>
    <w:locked/>
    <w:rsid w:val="00634469"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sid w:val="00634469"/>
    <w:rPr>
      <w:b/>
    </w:rPr>
  </w:style>
  <w:style w:type="character" w:customStyle="1" w:styleId="ItalicChar">
    <w:name w:val="Italic Char"/>
    <w:basedOn w:val="DefaultParagraphFont"/>
    <w:link w:val="Italic"/>
    <w:locked/>
    <w:rsid w:val="00634469"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sid w:val="00634469"/>
    <w:rPr>
      <w:i/>
    </w:rPr>
  </w:style>
  <w:style w:type="paragraph" w:styleId="ListParagraph">
    <w:name w:val="List Paragraph"/>
    <w:basedOn w:val="Normal"/>
    <w:uiPriority w:val="34"/>
    <w:qFormat/>
    <w:rsid w:val="001F2D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B0C03"/>
    <w:rPr>
      <w:rFonts w:ascii="Verdana" w:hAnsi="Verdana" w:cs="Verdana"/>
      <w:b/>
      <w:bCs/>
      <w:caps/>
      <w:kern w:val="32"/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6B0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Policepardfaut"/>
    <w:link w:val="Allcaps"/>
    <w:locked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Pr>
      <w:caps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</w:style>
  <w:style w:type="character" w:customStyle="1" w:styleId="BoldChar">
    <w:name w:val="Bold Char"/>
    <w:basedOn w:val="Policepardfaut"/>
    <w:link w:val="Bold"/>
    <w:locked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Pr>
      <w:b/>
    </w:rPr>
  </w:style>
  <w:style w:type="character" w:customStyle="1" w:styleId="ItalicChar">
    <w:name w:val="Italic Char"/>
    <w:basedOn w:val="Policepardfaut"/>
    <w:link w:val="Italic"/>
    <w:locked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Pr>
      <w:i/>
    </w:rPr>
  </w:style>
  <w:style w:type="paragraph" w:styleId="Paragraphedeliste">
    <w:name w:val="List Paragraph"/>
    <w:basedOn w:val="Normal"/>
    <w:uiPriority w:val="34"/>
    <w:qFormat/>
    <w:rsid w:val="001F2D0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B0C03"/>
    <w:rPr>
      <w:rFonts w:ascii="Verdana" w:hAnsi="Verdana" w:cs="Verdana"/>
      <w:b/>
      <w:bCs/>
      <w:caps/>
      <w:kern w:val="32"/>
      <w:sz w:val="24"/>
      <w:szCs w:val="24"/>
      <w:lang w:val="en-US" w:eastAsia="en-US" w:bidi="en-US"/>
    </w:rPr>
  </w:style>
  <w:style w:type="table" w:styleId="Grille">
    <w:name w:val="Table Grid"/>
    <w:basedOn w:val="TableauNormal"/>
    <w:rsid w:val="006B0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OFEED</Company>
  <LinksUpToDate>false</LinksUpToDate>
  <CharactersWithSpaces>6044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IFIA Evaluation Form and Report</dc:title>
  <dc:subject/>
  <dc:creator>Majid EL BOUAZZAOUI</dc:creator>
  <cp:keywords/>
  <dc:description/>
  <cp:lastModifiedBy>jaber</cp:lastModifiedBy>
  <cp:revision>17</cp:revision>
  <cp:lastPrinted>2005-07-01T08:49:00Z</cp:lastPrinted>
  <dcterms:created xsi:type="dcterms:W3CDTF">2017-11-26T17:14:00Z</dcterms:created>
  <dcterms:modified xsi:type="dcterms:W3CDTF">2018-05-06T08:42:00Z</dcterms:modified>
  <cp:category/>
</cp:coreProperties>
</file>